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4AF" w14:textId="77777777" w:rsidR="009D1A67" w:rsidRPr="007864D4" w:rsidRDefault="009D1A67" w:rsidP="007864D4">
      <w:pPr>
        <w:pStyle w:val="Heading2"/>
      </w:pPr>
      <w:r w:rsidRPr="007864D4">
        <w:t>Welcome</w:t>
      </w:r>
      <w:r w:rsidR="009E6C59" w:rsidRPr="007864D4">
        <w:t>, Call to Order, Introductions</w:t>
      </w:r>
    </w:p>
    <w:p w14:paraId="2A9AAE59" w14:textId="44A56728" w:rsidR="009B3BE0" w:rsidRDefault="006963BA" w:rsidP="006E6868">
      <w:pPr>
        <w:pStyle w:val="Normal2"/>
      </w:pPr>
      <w:r>
        <w:t xml:space="preserve">W. Shannon Black, </w:t>
      </w:r>
      <w:r w:rsidR="008B13BE">
        <w:t>WECC</w:t>
      </w:r>
      <w:r w:rsidR="0077778D">
        <w:t xml:space="preserve"> </w:t>
      </w:r>
      <w:r w:rsidR="008B13BE">
        <w:t>Standards</w:t>
      </w:r>
      <w:r w:rsidR="0077778D">
        <w:t xml:space="preserve">, </w:t>
      </w:r>
      <w:r w:rsidR="008B13BE">
        <w:t>c</w:t>
      </w:r>
      <w:r w:rsidR="000A3E72" w:rsidRPr="009A053D">
        <w:t xml:space="preserve">alled the meeting to order at </w:t>
      </w:r>
      <w:r w:rsidR="00B62071">
        <w:t xml:space="preserve">10:00 a.m., </w:t>
      </w:r>
      <w:r w:rsidR="003365F3">
        <w:t>April 28, 2022</w:t>
      </w:r>
      <w:r w:rsidR="0096380C">
        <w:t xml:space="preserve">. </w:t>
      </w:r>
      <w:r w:rsidR="0077778D">
        <w:t>A</w:t>
      </w:r>
      <w:r w:rsidR="000A3E72" w:rsidRPr="009A053D">
        <w:t xml:space="preserve"> quorum </w:t>
      </w:r>
      <w:r w:rsidR="00EA6A5D">
        <w:t>is not required per the WECC Reliability Standards Development Procedures (Procedures)</w:t>
      </w:r>
      <w:r w:rsidR="0096380C">
        <w:t xml:space="preserve">. </w:t>
      </w:r>
      <w:r w:rsidR="009B3BE0">
        <w:t xml:space="preserve">Exhibit </w:t>
      </w:r>
      <w:r w:rsidR="000A3E72" w:rsidRPr="009A053D">
        <w:t xml:space="preserve">A list </w:t>
      </w:r>
      <w:r w:rsidR="009B3BE0">
        <w:t xml:space="preserve">drafting team members in attendance. </w:t>
      </w:r>
    </w:p>
    <w:p w14:paraId="0B1F5ED5" w14:textId="77777777" w:rsidR="000F6CFC" w:rsidRPr="009A053D" w:rsidRDefault="001F1DB9" w:rsidP="007864D4">
      <w:pPr>
        <w:pStyle w:val="Heading2"/>
      </w:pPr>
      <w:r w:rsidRPr="009A053D">
        <w:t xml:space="preserve">Review WECC </w:t>
      </w:r>
      <w:r w:rsidR="000F6CFC" w:rsidRPr="009A053D">
        <w:t>Antitrust Policy</w:t>
      </w:r>
    </w:p>
    <w:p w14:paraId="4D85C454" w14:textId="0E524442" w:rsidR="000F6CFC" w:rsidRPr="009A053D" w:rsidRDefault="00EA6A5D" w:rsidP="006E6868">
      <w:pPr>
        <w:pStyle w:val="Normal2"/>
      </w:pPr>
      <w:r>
        <w:t xml:space="preserve">Mr. </w:t>
      </w:r>
      <w:r w:rsidR="000F67AE">
        <w:t xml:space="preserve">Black </w:t>
      </w:r>
      <w:r w:rsidR="000F6CFC" w:rsidRPr="009A053D">
        <w:t xml:space="preserve">read aloud the WECC Antitrust Policy statement. A link to the </w:t>
      </w:r>
      <w:r w:rsidR="00F83AC5" w:rsidRPr="009A053D">
        <w:t>posted p</w:t>
      </w:r>
      <w:r w:rsidR="000F6CFC" w:rsidRPr="009A053D">
        <w:t>olicy was provided</w:t>
      </w:r>
      <w:r>
        <w:t xml:space="preserve"> </w:t>
      </w:r>
      <w:r w:rsidR="000F6CFC" w:rsidRPr="009A053D">
        <w:t>in the meeting agenda.</w:t>
      </w:r>
    </w:p>
    <w:p w14:paraId="1FC9B823" w14:textId="77777777" w:rsidR="009D1A67" w:rsidRPr="009A053D" w:rsidRDefault="009D1A67" w:rsidP="007864D4">
      <w:pPr>
        <w:pStyle w:val="Heading2"/>
      </w:pPr>
      <w:r w:rsidRPr="009A053D">
        <w:t>Approve Agenda</w:t>
      </w:r>
    </w:p>
    <w:p w14:paraId="18A9E697" w14:textId="50C806BB" w:rsidR="009D1A67" w:rsidRPr="009A053D" w:rsidRDefault="00EA6A5D" w:rsidP="006E6868">
      <w:pPr>
        <w:pStyle w:val="Normal2"/>
        <w:rPr>
          <w:b/>
        </w:rPr>
      </w:pPr>
      <w:r>
        <w:t xml:space="preserve">Mr. </w:t>
      </w:r>
      <w:r w:rsidR="008B13BE">
        <w:t xml:space="preserve">Black </w:t>
      </w:r>
      <w:r w:rsidR="009D1A67" w:rsidRPr="009A053D">
        <w:t>introduced the proposed meeting agenda.</w:t>
      </w:r>
    </w:p>
    <w:p w14:paraId="48FFFA75" w14:textId="77777777" w:rsidR="009D1A67" w:rsidRPr="0054204F" w:rsidRDefault="00EA6A5D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 xml:space="preserve">The agenda was approved by consensus. </w:t>
      </w:r>
    </w:p>
    <w:p w14:paraId="1F383EE9" w14:textId="77777777" w:rsidR="009D1A67" w:rsidRPr="009A053D" w:rsidRDefault="009D1A67" w:rsidP="007864D4">
      <w:pPr>
        <w:pStyle w:val="Heading2"/>
      </w:pPr>
      <w:r w:rsidRPr="009A053D">
        <w:t xml:space="preserve">Review </w:t>
      </w:r>
      <w:r w:rsidR="001F1DB9" w:rsidRPr="009A053D">
        <w:t xml:space="preserve">and Approve </w:t>
      </w:r>
      <w:r w:rsidR="00F83AC5" w:rsidRPr="009A053D">
        <w:t>Previous Meeting</w:t>
      </w:r>
      <w:r w:rsidRPr="009A053D">
        <w:t xml:space="preserve"> Minutes</w:t>
      </w:r>
    </w:p>
    <w:p w14:paraId="4BD23368" w14:textId="77777777" w:rsidR="006B4930" w:rsidRDefault="006B4930" w:rsidP="009B3BE0">
      <w:pPr>
        <w:pStyle w:val="Normal2"/>
      </w:pPr>
      <w:r>
        <w:t xml:space="preserve">On a standing motion from </w:t>
      </w:r>
      <w:r w:rsidR="00112B42">
        <w:t xml:space="preserve">Ms. Erin Green, </w:t>
      </w:r>
      <w:r>
        <w:t xml:space="preserve">the minutes of the previous meeting were approved as presented. </w:t>
      </w:r>
    </w:p>
    <w:p w14:paraId="5A0AF08D" w14:textId="77777777" w:rsidR="009D1A67" w:rsidRPr="009A053D" w:rsidRDefault="009D1A67" w:rsidP="007864D4">
      <w:pPr>
        <w:pStyle w:val="Heading2"/>
      </w:pPr>
      <w:r w:rsidRPr="009A053D">
        <w:t>Review of Previous Action Items</w:t>
      </w:r>
    </w:p>
    <w:p w14:paraId="08DD6064" w14:textId="33C1DA4B" w:rsidR="006C1F93" w:rsidRDefault="006C1F93" w:rsidP="006C1F93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Continued review of Posting </w:t>
      </w:r>
      <w:r w:rsidR="00BB6302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 comments. </w:t>
      </w:r>
    </w:p>
    <w:p w14:paraId="201592C5" w14:textId="58383680" w:rsidR="002A17A6" w:rsidRDefault="004E404C" w:rsidP="00EA46A5">
      <w:pPr>
        <w:pStyle w:val="Heading2"/>
      </w:pPr>
      <w:r>
        <w:t xml:space="preserve">Drafting </w:t>
      </w:r>
    </w:p>
    <w:p w14:paraId="7BA43BC9" w14:textId="6A782428" w:rsidR="00A538D2" w:rsidRDefault="00CE2169" w:rsidP="009230AD">
      <w:pPr>
        <w:pStyle w:val="Normal2"/>
      </w:pPr>
      <w:r>
        <w:t xml:space="preserve">The team met and </w:t>
      </w:r>
      <w:r w:rsidR="006963BA">
        <w:t xml:space="preserve">continued </w:t>
      </w:r>
      <w:r w:rsidR="006C1F93">
        <w:t xml:space="preserve">its consideration of </w:t>
      </w:r>
      <w:r>
        <w:t xml:space="preserve">comments submitted as part of Posting </w:t>
      </w:r>
      <w:r w:rsidR="00BB6302">
        <w:t>3</w:t>
      </w:r>
      <w:r>
        <w:t>.</w:t>
      </w:r>
    </w:p>
    <w:p w14:paraId="4817A21E" w14:textId="1BCB5EE3" w:rsidR="003365F3" w:rsidRDefault="00E2416C" w:rsidP="009230AD">
      <w:pPr>
        <w:pStyle w:val="Normal2"/>
      </w:pPr>
      <w:r>
        <w:t xml:space="preserve">Four comments were received in Posting </w:t>
      </w:r>
      <w:r w:rsidR="00C6598C">
        <w:t>3</w:t>
      </w:r>
      <w:r w:rsidR="0096380C">
        <w:t xml:space="preserve">. </w:t>
      </w:r>
      <w:r w:rsidR="00BB6302">
        <w:t>Two comments were in support suggesting no further changes</w:t>
      </w:r>
      <w:r w:rsidR="0096380C">
        <w:t xml:space="preserve">. </w:t>
      </w:r>
    </w:p>
    <w:p w14:paraId="24B2F182" w14:textId="1D7A2D6A" w:rsidR="003365F3" w:rsidRDefault="003365F3" w:rsidP="009230AD">
      <w:pPr>
        <w:pStyle w:val="Normal2"/>
      </w:pPr>
      <w:r>
        <w:t xml:space="preserve">In response to comments received, the drafting team made the following changes: </w:t>
      </w:r>
    </w:p>
    <w:p w14:paraId="21D57D4F" w14:textId="06F28F5C" w:rsidR="003365F3" w:rsidRPr="003365F3" w:rsidRDefault="003365F3" w:rsidP="003365F3">
      <w:pPr>
        <w:pStyle w:val="ListParagraph"/>
        <w:numPr>
          <w:ilvl w:val="0"/>
          <w:numId w:val="41"/>
        </w:numPr>
        <w:suppressAutoHyphens/>
        <w:ind w:left="1080"/>
        <w:rPr>
          <w:rFonts w:ascii="Palatino Linotype" w:hAnsi="Palatino Linotype"/>
        </w:rPr>
      </w:pPr>
      <w:r w:rsidRPr="003365F3">
        <w:rPr>
          <w:rFonts w:ascii="Palatino Linotype" w:hAnsi="Palatino Linotype"/>
        </w:rPr>
        <w:t>At WR3, “instability” was changed to “stability” to align the Requirement and the Measure</w:t>
      </w:r>
      <w:r w:rsidR="0096380C" w:rsidRPr="003365F3">
        <w:rPr>
          <w:rFonts w:ascii="Palatino Linotype" w:hAnsi="Palatino Linotype"/>
        </w:rPr>
        <w:t xml:space="preserve">. </w:t>
      </w:r>
    </w:p>
    <w:p w14:paraId="163513FF" w14:textId="77777777" w:rsidR="003365F3" w:rsidRPr="003365F3" w:rsidRDefault="003365F3" w:rsidP="003365F3">
      <w:pPr>
        <w:pStyle w:val="ListParagraph"/>
        <w:numPr>
          <w:ilvl w:val="0"/>
          <w:numId w:val="41"/>
        </w:numPr>
        <w:suppressAutoHyphens/>
        <w:ind w:left="1080"/>
        <w:rPr>
          <w:rFonts w:ascii="Palatino Linotype" w:hAnsi="Palatino Linotype"/>
        </w:rPr>
      </w:pPr>
      <w:r w:rsidRPr="003365F3">
        <w:rPr>
          <w:rFonts w:ascii="Palatino Linotype" w:hAnsi="Palatino Linotype"/>
        </w:rPr>
        <w:t xml:space="preserve">Additional reference documents were added to the Attachments or Other Reference Material section. </w:t>
      </w:r>
    </w:p>
    <w:p w14:paraId="0D4CDE61" w14:textId="1B7AD962" w:rsidR="003365F3" w:rsidRPr="003365F3" w:rsidRDefault="003365F3" w:rsidP="003365F3">
      <w:pPr>
        <w:pStyle w:val="ListParagraph"/>
        <w:numPr>
          <w:ilvl w:val="0"/>
          <w:numId w:val="41"/>
        </w:numPr>
        <w:suppressAutoHyphens/>
        <w:ind w:left="1080"/>
        <w:rPr>
          <w:rFonts w:ascii="Palatino Linotype" w:hAnsi="Palatino Linotype"/>
        </w:rPr>
      </w:pPr>
      <w:r w:rsidRPr="003365F3">
        <w:rPr>
          <w:rFonts w:ascii="Palatino Linotype" w:hAnsi="Palatino Linotype"/>
        </w:rPr>
        <w:t>The diagram in the Rationale – General Application section was updated</w:t>
      </w:r>
      <w:r w:rsidR="0096380C" w:rsidRPr="003365F3">
        <w:rPr>
          <w:rFonts w:ascii="Palatino Linotype" w:hAnsi="Palatino Linotype"/>
        </w:rPr>
        <w:t xml:space="preserve">. </w:t>
      </w:r>
      <w:r w:rsidRPr="003365F3">
        <w:rPr>
          <w:rFonts w:ascii="Palatino Linotype" w:hAnsi="Palatino Linotype"/>
        </w:rPr>
        <w:t xml:space="preserve">Special note: version designations will be updated in the final review for this project. </w:t>
      </w:r>
    </w:p>
    <w:p w14:paraId="58FBE051" w14:textId="77777777" w:rsidR="003365F3" w:rsidRPr="003365F3" w:rsidRDefault="003365F3" w:rsidP="003365F3">
      <w:pPr>
        <w:pStyle w:val="ListParagraph"/>
        <w:numPr>
          <w:ilvl w:val="0"/>
          <w:numId w:val="41"/>
        </w:numPr>
        <w:suppressAutoHyphens/>
        <w:ind w:left="1080"/>
        <w:rPr>
          <w:rFonts w:ascii="Palatino Linotype" w:hAnsi="Palatino Linotype"/>
        </w:rPr>
      </w:pPr>
      <w:bookmarkStart w:id="0" w:name="_Hlk102392727"/>
      <w:r w:rsidRPr="003365F3">
        <w:rPr>
          <w:rFonts w:ascii="Palatino Linotype" w:hAnsi="Palatino Linotype"/>
        </w:rPr>
        <w:lastRenderedPageBreak/>
        <w:t>Clarification was added to the Rationale – Requirement WR1 stating, “An entity has the option to specify its nominal voltage different from 525 kV for the 500-kV system.”</w:t>
      </w:r>
    </w:p>
    <w:bookmarkEnd w:id="0"/>
    <w:p w14:paraId="51D95C4A" w14:textId="77777777" w:rsidR="003365F3" w:rsidRPr="003365F3" w:rsidRDefault="003365F3" w:rsidP="003365F3">
      <w:pPr>
        <w:pStyle w:val="ListParagraph"/>
        <w:numPr>
          <w:ilvl w:val="0"/>
          <w:numId w:val="41"/>
        </w:numPr>
        <w:suppressAutoHyphens/>
        <w:ind w:left="1080"/>
        <w:rPr>
          <w:rFonts w:ascii="Palatino Linotype" w:hAnsi="Palatino Linotype"/>
        </w:rPr>
      </w:pPr>
      <w:r w:rsidRPr="003365F3">
        <w:rPr>
          <w:rFonts w:ascii="Palatino Linotype" w:hAnsi="Palatino Linotype"/>
        </w:rPr>
        <w:t>Clarification was added to the Rationale – Requirement WR1.3 and WR1.4 stating, “WR1.4 is intended to describe normal voltage recovery and is not designed to address FIDVR (see Illustration WR1.4).”  For more information , please see WECC-0146 Posting 3, TPL-001-WECC-CRT-3 Response to Comments - Additional Guidance posted on the WECC-0141 Submit and Review Comments accordion.</w:t>
      </w:r>
    </w:p>
    <w:p w14:paraId="1AB66D0F" w14:textId="77777777" w:rsidR="003365F3" w:rsidRPr="003365F3" w:rsidRDefault="003365F3" w:rsidP="003365F3">
      <w:pPr>
        <w:pStyle w:val="ListParagraph"/>
        <w:numPr>
          <w:ilvl w:val="0"/>
          <w:numId w:val="41"/>
        </w:numPr>
        <w:suppressAutoHyphens/>
        <w:ind w:left="1080"/>
        <w:rPr>
          <w:rFonts w:ascii="Palatino Linotype" w:hAnsi="Palatino Linotype"/>
        </w:rPr>
      </w:pPr>
      <w:r w:rsidRPr="003365F3">
        <w:rPr>
          <w:rFonts w:ascii="Palatino Linotype" w:hAnsi="Palatino Linotype"/>
        </w:rPr>
        <w:t xml:space="preserve">Clarification was added to the Rationale – Requirement WR1.4 stating, “An entity has the option to specify its nominal voltage different from 525 kV for the 500-kV system.” </w:t>
      </w:r>
    </w:p>
    <w:p w14:paraId="24751B4B" w14:textId="34F5FF8E" w:rsidR="003365F3" w:rsidRDefault="003365F3" w:rsidP="003365F3">
      <w:pPr>
        <w:ind w:left="720"/>
        <w:rPr>
          <w:rFonts w:ascii="Palatino Linotype" w:hAnsi="Palatino Linotype" w:cstheme="majorHAnsi"/>
        </w:rPr>
      </w:pPr>
      <w:r w:rsidRPr="003365F3">
        <w:rPr>
          <w:rFonts w:ascii="Palatino Linotype" w:hAnsi="Palatino Linotype" w:cstheme="majorHAnsi"/>
        </w:rPr>
        <w:t>The DT opted not to further expand Rationale – Requirement WR4</w:t>
      </w:r>
      <w:r w:rsidR="0096380C" w:rsidRPr="003365F3">
        <w:rPr>
          <w:rFonts w:ascii="Palatino Linotype" w:hAnsi="Palatino Linotype" w:cstheme="majorHAnsi"/>
        </w:rPr>
        <w:t xml:space="preserve">. </w:t>
      </w:r>
      <w:r w:rsidRPr="003365F3">
        <w:rPr>
          <w:rFonts w:ascii="Palatino Linotype" w:hAnsi="Palatino Linotype" w:cstheme="majorHAnsi"/>
        </w:rPr>
        <w:t>Rather, the DT concluded the following existing language was sufficient, “WR4 does not change the WR1, WR2, and WR3 defaults; rather, WR4 allows for a different approach without changing the defaults.”</w:t>
      </w:r>
    </w:p>
    <w:p w14:paraId="112BAA2D" w14:textId="6DCBD97E" w:rsidR="005C00A3" w:rsidRDefault="005C00A3" w:rsidP="007864D4">
      <w:pPr>
        <w:pStyle w:val="Heading2"/>
      </w:pPr>
      <w:r>
        <w:t>Reports</w:t>
      </w:r>
    </w:p>
    <w:p w14:paraId="19118816" w14:textId="77777777" w:rsidR="003365F3" w:rsidRDefault="003365F3" w:rsidP="003F10B0">
      <w:pPr>
        <w:pStyle w:val="Normal2"/>
      </w:pPr>
      <w:r>
        <w:t xml:space="preserve">No reports were given. </w:t>
      </w:r>
    </w:p>
    <w:p w14:paraId="42508156" w14:textId="73662F99" w:rsidR="009D1A67" w:rsidRPr="009A053D" w:rsidRDefault="005C00A3" w:rsidP="007864D4">
      <w:pPr>
        <w:pStyle w:val="Heading2"/>
      </w:pPr>
      <w:r>
        <w:t>P</w:t>
      </w:r>
      <w:r w:rsidR="004D1AA4" w:rsidRPr="009A053D">
        <w:t>ublic Comment</w:t>
      </w:r>
    </w:p>
    <w:p w14:paraId="257EA28D" w14:textId="789834DF" w:rsidR="00F83AC5" w:rsidRPr="009A053D" w:rsidRDefault="00922E15" w:rsidP="006E6868">
      <w:pPr>
        <w:pStyle w:val="Normal2"/>
      </w:pPr>
      <w:r>
        <w:t>All DT meetings held per the Procedures are open to the public</w:t>
      </w:r>
      <w:r w:rsidR="0096380C">
        <w:t xml:space="preserve">. </w:t>
      </w:r>
      <w:r>
        <w:t xml:space="preserve">Public comment is solicited on a continuous basis. </w:t>
      </w:r>
    </w:p>
    <w:p w14:paraId="062EBAB1" w14:textId="77777777" w:rsidR="009D1A67" w:rsidRDefault="009D1A67" w:rsidP="007864D4">
      <w:pPr>
        <w:pStyle w:val="Heading2"/>
      </w:pPr>
      <w:r w:rsidRPr="009A053D">
        <w:t>Review of New Action Items</w:t>
      </w:r>
    </w:p>
    <w:p w14:paraId="49BCC602" w14:textId="66FB9B55" w:rsidR="00772CC0" w:rsidRDefault="00C31E07" w:rsidP="00B95709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The f</w:t>
      </w:r>
      <w:r w:rsidR="007269A6">
        <w:rPr>
          <w:rFonts w:ascii="Palatino Linotype" w:hAnsi="Palatino Linotype"/>
        </w:rPr>
        <w:t>ollowing action items were assigned</w:t>
      </w:r>
      <w:r w:rsidR="0096380C">
        <w:rPr>
          <w:rFonts w:ascii="Palatino Linotype" w:hAnsi="Palatino Linotype"/>
        </w:rPr>
        <w:t xml:space="preserve">. </w:t>
      </w:r>
      <w:r w:rsidR="007269A6">
        <w:rPr>
          <w:rFonts w:ascii="Palatino Linotype" w:hAnsi="Palatino Linotype"/>
        </w:rPr>
        <w:t>Each assigned individual is requested to bring the assigned deliverable to the next scheduled drafting team meeting</w:t>
      </w:r>
      <w:r w:rsidR="0096380C">
        <w:rPr>
          <w:rFonts w:ascii="Palatino Linotype" w:hAnsi="Palatino Linotype"/>
        </w:rPr>
        <w:t xml:space="preserve">. </w:t>
      </w:r>
      <w:r w:rsidR="007269A6">
        <w:rPr>
          <w:rFonts w:ascii="Palatino Linotype" w:hAnsi="Palatino Linotype"/>
        </w:rPr>
        <w:t xml:space="preserve">Where possible, each </w:t>
      </w:r>
      <w:r w:rsidR="00C25CE7">
        <w:rPr>
          <w:rFonts w:ascii="Palatino Linotype" w:hAnsi="Palatino Linotype"/>
        </w:rPr>
        <w:t>assigned individual is requested to bring a solution along with the identified issue.</w:t>
      </w:r>
    </w:p>
    <w:p w14:paraId="3BCB4698" w14:textId="0DDBFA5D" w:rsidR="00CB073B" w:rsidRDefault="00CB7EDA" w:rsidP="00461C36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Mr. </w:t>
      </w:r>
      <w:r w:rsidR="00CB073B">
        <w:rPr>
          <w:rFonts w:ascii="Palatino Linotype" w:hAnsi="Palatino Linotype"/>
        </w:rPr>
        <w:t>Black agreed to finalize the Posting 4 documents and circulate for a drafting-team only ballot to determine whether the project is ready for posting</w:t>
      </w:r>
      <w:r w:rsidR="0096380C">
        <w:rPr>
          <w:rFonts w:ascii="Palatino Linotype" w:hAnsi="Palatino Linotype"/>
        </w:rPr>
        <w:t xml:space="preserve">. </w:t>
      </w:r>
      <w:r w:rsidR="00CB073B">
        <w:rPr>
          <w:rFonts w:ascii="Palatino Linotype" w:hAnsi="Palatino Linotype"/>
        </w:rPr>
        <w:t xml:space="preserve">The email ballot will close May 6, 2022. </w:t>
      </w:r>
    </w:p>
    <w:p w14:paraId="0549107A" w14:textId="77777777" w:rsidR="00921DE9" w:rsidRPr="009F509D" w:rsidRDefault="00921DE9" w:rsidP="00921DE9">
      <w:pPr>
        <w:pStyle w:val="Normal2"/>
      </w:pPr>
      <w:r>
        <w:rPr>
          <w:rFonts w:cstheme="majorHAnsi"/>
        </w:rPr>
        <w:t xml:space="preserve">Subsequent Entry: </w:t>
      </w:r>
      <w:r w:rsidRPr="009F509D">
        <w:t xml:space="preserve">On May 6, 2022, the DT agreed by a majority vote via an email ballot to post Posting 4 for a 30-day comment period. Once the comment period opens, comments can be submitted by selecting the Submit and Review Comments accordion on the WECC-0146 homepage. Then, click </w:t>
      </w:r>
      <w:r w:rsidRPr="009F509D">
        <w:rPr>
          <w:b/>
          <w:bCs/>
        </w:rPr>
        <w:t>Submit Responses to Posting 4</w:t>
      </w:r>
      <w:r w:rsidRPr="009F509D">
        <w:t xml:space="preserve">. </w:t>
      </w:r>
    </w:p>
    <w:p w14:paraId="5F09C9EC" w14:textId="035D0261" w:rsidR="00921DE9" w:rsidRPr="009F509D" w:rsidRDefault="00921DE9" w:rsidP="00921DE9">
      <w:pPr>
        <w:pStyle w:val="Normal2"/>
      </w:pPr>
      <w:r w:rsidRPr="009F509D">
        <w:t>The posting period will open May 11, 2022, and close June 10, 2022</w:t>
      </w:r>
      <w:r w:rsidR="0096380C" w:rsidRPr="009F509D">
        <w:t xml:space="preserve">. </w:t>
      </w:r>
    </w:p>
    <w:p w14:paraId="11218EE1" w14:textId="77777777" w:rsidR="009D1A67" w:rsidRPr="009A053D" w:rsidRDefault="00BB045C" w:rsidP="007864D4">
      <w:pPr>
        <w:pStyle w:val="Heading2"/>
      </w:pPr>
      <w:bookmarkStart w:id="1" w:name="_Hlk14429188"/>
      <w:r w:rsidRPr="009A053D">
        <w:t>Upcoming</w:t>
      </w:r>
      <w:r w:rsidR="009D1A67" w:rsidRPr="009A053D">
        <w:t xml:space="preserve"> Meetings</w:t>
      </w:r>
    </w:p>
    <w:p w14:paraId="4B0E6F3E" w14:textId="3A046FA7" w:rsidR="0046104B" w:rsidRDefault="0046104B" w:rsidP="0052484B">
      <w:pPr>
        <w:pStyle w:val="MeetingsLeader"/>
      </w:pPr>
      <w:bookmarkStart w:id="2" w:name="_Hlk80868955"/>
      <w:r>
        <w:t xml:space="preserve">May 12, 2022,     10:00 a.m. to 12:00 p.m. </w:t>
      </w:r>
      <w:r w:rsidRPr="0046104B">
        <w:tab/>
      </w:r>
      <w:r w:rsidR="0096380C">
        <w:t>Virtual</w:t>
      </w:r>
      <w:r>
        <w:t xml:space="preserve"> </w:t>
      </w:r>
      <w:r w:rsidR="003365F3">
        <w:t xml:space="preserve"> - CANCELLED</w:t>
      </w:r>
    </w:p>
    <w:p w14:paraId="1223845A" w14:textId="3536CB90" w:rsidR="003365F3" w:rsidRPr="005D2FE6" w:rsidRDefault="003365F3" w:rsidP="003365F3">
      <w:pPr>
        <w:pStyle w:val="MeetingsLeader"/>
      </w:pPr>
      <w:bookmarkStart w:id="3" w:name="_Hlk95383413"/>
      <w:r>
        <w:lastRenderedPageBreak/>
        <w:t xml:space="preserve">June 16, 2022, </w:t>
      </w:r>
      <w:r w:rsidRPr="005D2FE6">
        <w:t xml:space="preserve">10:00 a.m. to 12:00 p.m. </w:t>
      </w:r>
      <w:r w:rsidRPr="005D2FE6">
        <w:tab/>
      </w:r>
      <w:r w:rsidR="005464D6">
        <w:t>Virtual</w:t>
      </w:r>
    </w:p>
    <w:bookmarkEnd w:id="3"/>
    <w:p w14:paraId="77993268" w14:textId="360BE211" w:rsidR="003365F3" w:rsidRPr="005D2FE6" w:rsidRDefault="003365F3" w:rsidP="003365F3">
      <w:pPr>
        <w:pStyle w:val="MeetingsLeader"/>
      </w:pPr>
      <w:r>
        <w:t xml:space="preserve">June 30, 2022, </w:t>
      </w:r>
      <w:r w:rsidRPr="005D2FE6">
        <w:t xml:space="preserve">10:00 a.m. to 12:00 p.m. </w:t>
      </w:r>
      <w:r w:rsidRPr="005D2FE6">
        <w:tab/>
      </w:r>
      <w:r w:rsidR="005464D6">
        <w:t>Virtual</w:t>
      </w:r>
    </w:p>
    <w:bookmarkEnd w:id="2"/>
    <w:p w14:paraId="36F4B625" w14:textId="674D4786" w:rsidR="00922E15" w:rsidRDefault="00922E15" w:rsidP="006E6868">
      <w:pPr>
        <w:pStyle w:val="MeetingsLeader"/>
      </w:pPr>
      <w:r>
        <w:t xml:space="preserve">All DT meeting announcements are for Mountain Time. </w:t>
      </w:r>
    </w:p>
    <w:bookmarkEnd w:id="1"/>
    <w:p w14:paraId="64FC7C3C" w14:textId="77777777" w:rsidR="009D1A67" w:rsidRPr="009A053D" w:rsidRDefault="009D1A67" w:rsidP="007864D4">
      <w:pPr>
        <w:pStyle w:val="Heading2"/>
      </w:pPr>
      <w:r w:rsidRPr="009A053D">
        <w:t>Adjourn</w:t>
      </w:r>
    </w:p>
    <w:p w14:paraId="4536FEFC" w14:textId="5F256A2D" w:rsidR="009D1A67" w:rsidRPr="006E6868" w:rsidRDefault="00364289" w:rsidP="00112B42">
      <w:pPr>
        <w:pStyle w:val="Normal2"/>
      </w:pPr>
      <w:r>
        <w:t xml:space="preserve">The </w:t>
      </w:r>
      <w:r w:rsidR="00922E15">
        <w:t xml:space="preserve">meeting </w:t>
      </w:r>
      <w:r>
        <w:t xml:space="preserve">adjourned </w:t>
      </w:r>
      <w:r w:rsidR="009D1A67" w:rsidRPr="009A053D">
        <w:t>without objection</w:t>
      </w:r>
      <w:r w:rsidR="00962CB9">
        <w:t>.</w:t>
      </w:r>
      <w:r w:rsidR="005F2E1E">
        <w:t xml:space="preserve"> </w:t>
      </w:r>
      <w:r w:rsidR="009D1A67" w:rsidRPr="006E6868">
        <w:br w:type="page"/>
      </w:r>
      <w:r w:rsidR="006E6868">
        <w:rPr>
          <w:rStyle w:val="Heading1Char"/>
        </w:rPr>
        <w:lastRenderedPageBreak/>
        <w:t>Exhibit A: Attendance List</w:t>
      </w:r>
    </w:p>
    <w:p w14:paraId="69E0E6AE" w14:textId="2153586A" w:rsidR="00BE1490" w:rsidRDefault="00BE1490" w:rsidP="00975F6B">
      <w:pPr>
        <w:pStyle w:val="Heading3"/>
      </w:pPr>
      <w:r w:rsidRPr="00BE1490">
        <w:t>Members in Attendance</w:t>
      </w:r>
    </w:p>
    <w:p w14:paraId="2B30E89F" w14:textId="67E387A6" w:rsidR="00C6598C" w:rsidRDefault="00C6598C" w:rsidP="00C6598C">
      <w:pPr>
        <w:pStyle w:val="AttendanceLeader"/>
      </w:pPr>
      <w:r>
        <w:t>Akhil Mandadi</w:t>
      </w:r>
      <w:r w:rsidRPr="007864D4">
        <w:tab/>
      </w:r>
      <w:r>
        <w:t>Arizona Public Power</w:t>
      </w:r>
    </w:p>
    <w:p w14:paraId="5A64A390" w14:textId="77777777" w:rsidR="00CB073B" w:rsidRDefault="00CB073B" w:rsidP="00CB073B">
      <w:pPr>
        <w:pStyle w:val="AttendanceLeader"/>
      </w:pPr>
      <w:r>
        <w:t>Christopher Fuchs</w:t>
      </w:r>
      <w:r w:rsidRPr="007864D4">
        <w:tab/>
      </w:r>
      <w:r>
        <w:t>California Independent System Operator</w:t>
      </w:r>
    </w:p>
    <w:p w14:paraId="6CD603E9" w14:textId="77777777" w:rsidR="009D1A67" w:rsidRDefault="00750F04" w:rsidP="00975F6B">
      <w:pPr>
        <w:pStyle w:val="Heading3"/>
      </w:pPr>
      <w:r>
        <w:t>Members not in Attendance</w:t>
      </w:r>
    </w:p>
    <w:p w14:paraId="47BFC626" w14:textId="77777777" w:rsidR="00C6598C" w:rsidRDefault="00C6598C" w:rsidP="00C6598C">
      <w:pPr>
        <w:pStyle w:val="AttendanceLeader"/>
      </w:pPr>
      <w:r w:rsidRPr="003C57D0">
        <w:t>Erin Green</w:t>
      </w:r>
      <w:r w:rsidRPr="007864D4">
        <w:tab/>
      </w:r>
      <w:r>
        <w:t>Western Area Power Administration</w:t>
      </w:r>
    </w:p>
    <w:p w14:paraId="79A15B1E" w14:textId="410434D8" w:rsidR="00360EFA" w:rsidRDefault="00360EFA" w:rsidP="00360EFA">
      <w:pPr>
        <w:tabs>
          <w:tab w:val="right" w:leader="dot" w:pos="10080"/>
        </w:tabs>
        <w:rPr>
          <w:rFonts w:ascii="Palatino Linotype" w:hAnsi="Palatino Linotype"/>
        </w:rPr>
      </w:pPr>
      <w:r w:rsidRPr="00E73C77">
        <w:rPr>
          <w:rFonts w:ascii="Palatino Linotype" w:hAnsi="Palatino Linotype"/>
        </w:rPr>
        <w:t>Hamody Hindi</w:t>
      </w:r>
      <w:r w:rsidRPr="00E73C77">
        <w:rPr>
          <w:rFonts w:ascii="Palatino Linotype" w:hAnsi="Palatino Linotype"/>
        </w:rPr>
        <w:tab/>
        <w:t>Bonneville Power Administration</w:t>
      </w:r>
      <w:r>
        <w:rPr>
          <w:rFonts w:ascii="Palatino Linotype" w:hAnsi="Palatino Linotype"/>
        </w:rPr>
        <w:t xml:space="preserve"> (Inactive)</w:t>
      </w:r>
      <w:r>
        <w:rPr>
          <w:rStyle w:val="FootnoteReference"/>
          <w:rFonts w:ascii="Palatino Linotype" w:hAnsi="Palatino Linotype"/>
        </w:rPr>
        <w:footnoteReference w:id="1"/>
      </w:r>
    </w:p>
    <w:p w14:paraId="23073661" w14:textId="77777777" w:rsidR="00DA0A1C" w:rsidRDefault="00DA0A1C" w:rsidP="00DA0A1C">
      <w:pPr>
        <w:pStyle w:val="AttendanceLeader"/>
      </w:pPr>
      <w:r>
        <w:rPr>
          <w:rFonts w:cs="Arial"/>
          <w:lang w:val="en-CA"/>
        </w:rPr>
        <w:t>Hari Singh</w:t>
      </w:r>
      <w:r w:rsidRPr="007864D4">
        <w:tab/>
      </w:r>
      <w:r>
        <w:t>Xcel Energy</w:t>
      </w:r>
    </w:p>
    <w:p w14:paraId="5451B8C1" w14:textId="409E6D12" w:rsidR="00360EFA" w:rsidRDefault="00360EFA" w:rsidP="00360EFA">
      <w:pPr>
        <w:pStyle w:val="AttendanceLeader"/>
      </w:pPr>
      <w:r w:rsidRPr="00772CC0">
        <w:t>Irina Green</w:t>
      </w:r>
      <w:r w:rsidRPr="007864D4">
        <w:tab/>
      </w:r>
      <w:r>
        <w:t>California Independent System Operator (Retired)</w:t>
      </w:r>
      <w:r>
        <w:rPr>
          <w:rStyle w:val="FootnoteReference"/>
        </w:rPr>
        <w:footnoteReference w:id="2"/>
      </w:r>
    </w:p>
    <w:p w14:paraId="6D49C03C" w14:textId="3AE38A52" w:rsidR="00360EFA" w:rsidRDefault="00360EFA" w:rsidP="00360EFA">
      <w:pPr>
        <w:pStyle w:val="AttendanceLeader"/>
      </w:pPr>
      <w:bookmarkStart w:id="4" w:name="_Hlk69391305"/>
      <w:r w:rsidRPr="003C57D0">
        <w:t>Rabindra (Rabi) Kiran</w:t>
      </w:r>
      <w:bookmarkEnd w:id="4"/>
      <w:r w:rsidRPr="007864D4">
        <w:tab/>
      </w:r>
      <w:r>
        <w:t>Southern California Edison</w:t>
      </w:r>
    </w:p>
    <w:p w14:paraId="471E0FC6" w14:textId="77777777" w:rsidR="009D1A67" w:rsidRPr="004754B9" w:rsidRDefault="009D1A67" w:rsidP="00975F6B">
      <w:pPr>
        <w:pStyle w:val="Heading3"/>
      </w:pPr>
      <w:r w:rsidRPr="004754B9">
        <w:t>Others in Attendance</w:t>
      </w:r>
    </w:p>
    <w:p w14:paraId="674FE8F5" w14:textId="77777777" w:rsidR="004D7652" w:rsidRDefault="004D7652" w:rsidP="0068042A">
      <w:pPr>
        <w:pStyle w:val="AttendanceLeader"/>
      </w:pPr>
      <w:r>
        <w:t xml:space="preserve">Attendance is only recorded for DT members. </w:t>
      </w:r>
    </w:p>
    <w:sectPr w:rsidR="004D7652" w:rsidSect="009C45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8C34" w14:textId="77777777" w:rsidR="00325007" w:rsidRDefault="00325007" w:rsidP="00997CD1">
      <w:pPr>
        <w:spacing w:after="0" w:line="240" w:lineRule="auto"/>
      </w:pPr>
      <w:r>
        <w:separator/>
      </w:r>
    </w:p>
  </w:endnote>
  <w:endnote w:type="continuationSeparator" w:id="0">
    <w:p w14:paraId="78944C69" w14:textId="77777777" w:rsidR="00325007" w:rsidRDefault="00325007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4279" w14:textId="77777777" w:rsidR="00997CD1" w:rsidRPr="00201D41" w:rsidRDefault="009A053D" w:rsidP="00201D41">
    <w:pPr>
      <w:pStyle w:val="Footer"/>
    </w:pPr>
    <w:r w:rsidRPr="00201D41">
      <w:rPr>
        <w:noProof/>
        <w:u w:val="none"/>
      </w:rPr>
      <w:drawing>
        <wp:inline distT="0" distB="0" distL="0" distR="0" wp14:anchorId="39CF65CA" wp14:editId="6480CCFF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1D41">
      <w:tab/>
    </w:r>
    <w:r w:rsidRPr="00201D41">
      <w:tab/>
    </w:r>
    <w:r w:rsidR="00666C5A" w:rsidRPr="00201D41">
      <w:rPr>
        <w:u w:val="none"/>
      </w:rPr>
      <w:t xml:space="preserve"> </w:t>
    </w:r>
    <w:r w:rsidR="00666C5A" w:rsidRPr="00201D41">
      <w:rPr>
        <w:u w:val="none"/>
      </w:rPr>
      <w:fldChar w:fldCharType="begin"/>
    </w:r>
    <w:r w:rsidR="00666C5A" w:rsidRPr="00201D41">
      <w:rPr>
        <w:u w:val="none"/>
      </w:rPr>
      <w:instrText xml:space="preserve"> PAGE   \* MERGEFORMAT </w:instrText>
    </w:r>
    <w:r w:rsidR="00666C5A" w:rsidRPr="00201D41">
      <w:rPr>
        <w:u w:val="none"/>
      </w:rPr>
      <w:fldChar w:fldCharType="separate"/>
    </w:r>
    <w:r w:rsidR="00DB19B0">
      <w:rPr>
        <w:noProof/>
        <w:u w:val="none"/>
      </w:rPr>
      <w:t>2</w:t>
    </w:r>
    <w:r w:rsidR="00666C5A" w:rsidRPr="00201D41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28AC" w14:textId="77777777" w:rsidR="009A053D" w:rsidRPr="00201D41" w:rsidRDefault="009C4589" w:rsidP="00201D41">
    <w:pPr>
      <w:pStyle w:val="Footer"/>
    </w:pPr>
    <w:r w:rsidRPr="00201D41">
      <w:rPr>
        <w:noProof/>
      </w:rPr>
      <w:drawing>
        <wp:anchor distT="0" distB="0" distL="114300" distR="114300" simplePos="0" relativeHeight="251666432" behindDoc="0" locked="0" layoutInCell="1" allowOverlap="1" wp14:anchorId="2C875BFF" wp14:editId="5FE10F5D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>
      <w:tab/>
    </w:r>
    <w:r w:rsidR="00201D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0ED1" w14:textId="77777777" w:rsidR="00325007" w:rsidRDefault="00325007" w:rsidP="00997CD1">
      <w:pPr>
        <w:spacing w:after="0" w:line="240" w:lineRule="auto"/>
      </w:pPr>
      <w:r>
        <w:separator/>
      </w:r>
    </w:p>
  </w:footnote>
  <w:footnote w:type="continuationSeparator" w:id="0">
    <w:p w14:paraId="60C06018" w14:textId="77777777" w:rsidR="00325007" w:rsidRDefault="00325007" w:rsidP="00997CD1">
      <w:pPr>
        <w:spacing w:after="0" w:line="240" w:lineRule="auto"/>
      </w:pPr>
      <w:r>
        <w:continuationSeparator/>
      </w:r>
    </w:p>
  </w:footnote>
  <w:footnote w:id="1">
    <w:p w14:paraId="3E318F73" w14:textId="77777777" w:rsidR="00360EFA" w:rsidRPr="00E7770C" w:rsidRDefault="00360EFA" w:rsidP="00360EFA">
      <w:pPr>
        <w:pStyle w:val="FootnoteText"/>
        <w:rPr>
          <w:rFonts w:ascii="Palatino Linotype" w:hAnsi="Palatino Linotype"/>
        </w:rPr>
      </w:pPr>
      <w:r w:rsidRPr="00E7770C">
        <w:rPr>
          <w:rStyle w:val="FootnoteReference"/>
          <w:rFonts w:ascii="Palatino Linotype" w:hAnsi="Palatino Linotype"/>
        </w:rPr>
        <w:footnoteRef/>
      </w:r>
      <w:r w:rsidRPr="00E7770C">
        <w:rPr>
          <w:rFonts w:ascii="Palatino Linotype" w:hAnsi="Palatino Linotype"/>
        </w:rPr>
        <w:t xml:space="preserve"> On November 4, 2021, Hamody Hindi (BPA), reported he has been temporarily assigned to the Department of Energy for an 18-month term, starting no later than November 21, 2021.  Although he wishes to continue with the drafting team his availability has yet to be determined.  </w:t>
      </w:r>
    </w:p>
  </w:footnote>
  <w:footnote w:id="2">
    <w:p w14:paraId="5E29964F" w14:textId="77777777" w:rsidR="00360EFA" w:rsidRPr="00E7770C" w:rsidRDefault="00360EFA" w:rsidP="00360EFA">
      <w:pPr>
        <w:pStyle w:val="FootnoteText"/>
        <w:rPr>
          <w:rFonts w:ascii="Palatino Linotype" w:hAnsi="Palatino Linotype"/>
        </w:rPr>
      </w:pPr>
      <w:r w:rsidRPr="00E7770C">
        <w:rPr>
          <w:rStyle w:val="FootnoteReference"/>
          <w:rFonts w:ascii="Palatino Linotype" w:hAnsi="Palatino Linotype"/>
        </w:rPr>
        <w:footnoteRef/>
      </w:r>
      <w:r w:rsidRPr="00E7770C">
        <w:rPr>
          <w:rFonts w:ascii="Palatino Linotype" w:hAnsi="Palatino Linotype"/>
        </w:rPr>
        <w:t xml:space="preserve"> On November 9, 2021, Irina Greene (CAISO), announced her retirement.</w:t>
      </w:r>
      <w:r>
        <w:rPr>
          <w:rFonts w:ascii="Palatino Linotype" w:hAnsi="Palatino Linotype"/>
        </w:rPr>
        <w:t xml:space="preserve">  </w:t>
      </w:r>
      <w:r w:rsidRPr="00E7770C">
        <w:rPr>
          <w:rFonts w:ascii="Palatino Linotype" w:hAnsi="Palatino Linotype"/>
        </w:rPr>
        <w:t>Although she reports she would like to continue on the team while in retirement, her availability is yet to be determined.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BCDE" w14:textId="77777777" w:rsidR="00161415" w:rsidRDefault="00161415" w:rsidP="009B4695">
    <w:pPr>
      <w:pStyle w:val="Header"/>
    </w:pPr>
    <w:r>
      <w:t>WECC-01</w:t>
    </w:r>
    <w:r w:rsidR="009B3BE0">
      <w:t>4</w:t>
    </w:r>
    <w:r w:rsidR="00605AB8">
      <w:t>6</w:t>
    </w:r>
  </w:p>
  <w:p w14:paraId="7458502F" w14:textId="172ACA4C" w:rsidR="00997CD1" w:rsidRPr="00BE0C4D" w:rsidRDefault="00161415" w:rsidP="009B4695">
    <w:pPr>
      <w:pStyle w:val="Header"/>
      <w:rPr>
        <w:noProof/>
      </w:rPr>
    </w:pPr>
    <w:r>
      <w:t xml:space="preserve">Drafting Team </w:t>
    </w:r>
    <w:r w:rsidR="009D1A67" w:rsidRPr="00BE0C4D">
      <w:t xml:space="preserve">Meeting Minutes </w:t>
    </w:r>
    <w:r w:rsidR="003365F3">
      <w:t>April 28,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88FE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C4551F1" wp14:editId="4A655554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D54A9" w14:textId="77777777" w:rsidR="00EA6A5D" w:rsidRDefault="00EA6A5D" w:rsidP="009B4695">
    <w:pPr>
      <w:pStyle w:val="PG1Header"/>
    </w:pPr>
    <w:r>
      <w:t>WECC-01</w:t>
    </w:r>
    <w:r w:rsidR="009B3BE0">
      <w:t>4</w:t>
    </w:r>
    <w:r w:rsidR="00B62071">
      <w:t>6</w:t>
    </w:r>
  </w:p>
  <w:p w14:paraId="1665AFD0" w14:textId="77777777" w:rsidR="00E97E61" w:rsidRPr="00BE0C4D" w:rsidRDefault="00EA6A5D" w:rsidP="009B4695">
    <w:pPr>
      <w:pStyle w:val="PG1Header"/>
    </w:pPr>
    <w:r>
      <w:t>Drafting Team</w:t>
    </w:r>
  </w:p>
  <w:p w14:paraId="56167EED" w14:textId="77777777" w:rsidR="00E97E61" w:rsidRPr="00BE0C4D" w:rsidRDefault="009D1A67" w:rsidP="009B4695">
    <w:pPr>
      <w:pStyle w:val="PG1Header"/>
    </w:pPr>
    <w:r w:rsidRPr="00BE0C4D">
      <w:t>Meeting</w:t>
    </w:r>
    <w:r w:rsidR="00FB74FE" w:rsidRPr="00BE0C4D">
      <w:t xml:space="preserve"> </w:t>
    </w:r>
    <w:r w:rsidRPr="00BE0C4D">
      <w:t>Minutes</w:t>
    </w:r>
  </w:p>
  <w:p w14:paraId="38102510" w14:textId="3123BD46" w:rsidR="009D1A67" w:rsidRPr="00BE0C4D" w:rsidRDefault="0096380C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53972"/>
    <w:multiLevelType w:val="hybridMultilevel"/>
    <w:tmpl w:val="3308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EE68A8"/>
    <w:multiLevelType w:val="hybridMultilevel"/>
    <w:tmpl w:val="293EB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EC2642"/>
    <w:multiLevelType w:val="hybridMultilevel"/>
    <w:tmpl w:val="CBC4DAA6"/>
    <w:lvl w:ilvl="0" w:tplc="373686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53F51"/>
    <w:multiLevelType w:val="hybridMultilevel"/>
    <w:tmpl w:val="73DE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3724EE"/>
    <w:multiLevelType w:val="hybridMultilevel"/>
    <w:tmpl w:val="06EA8FC6"/>
    <w:lvl w:ilvl="0" w:tplc="61C89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D6F83"/>
    <w:multiLevelType w:val="hybridMultilevel"/>
    <w:tmpl w:val="9DF4243A"/>
    <w:lvl w:ilvl="0" w:tplc="28BE7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F6E66"/>
    <w:multiLevelType w:val="multilevel"/>
    <w:tmpl w:val="7CF68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7E05D7E"/>
    <w:multiLevelType w:val="hybridMultilevel"/>
    <w:tmpl w:val="087E42D6"/>
    <w:lvl w:ilvl="0" w:tplc="09D24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243C9"/>
    <w:multiLevelType w:val="hybridMultilevel"/>
    <w:tmpl w:val="5F2CB07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A08AF"/>
    <w:multiLevelType w:val="hybridMultilevel"/>
    <w:tmpl w:val="3CE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4185"/>
    <w:multiLevelType w:val="hybridMultilevel"/>
    <w:tmpl w:val="BA5A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856B0"/>
    <w:multiLevelType w:val="hybridMultilevel"/>
    <w:tmpl w:val="98B62160"/>
    <w:lvl w:ilvl="0" w:tplc="373686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BA16938"/>
    <w:multiLevelType w:val="hybridMultilevel"/>
    <w:tmpl w:val="C68C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651E6C"/>
    <w:multiLevelType w:val="hybridMultilevel"/>
    <w:tmpl w:val="9BC6A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442B"/>
    <w:multiLevelType w:val="multilevel"/>
    <w:tmpl w:val="DD5A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9D6DCD"/>
    <w:multiLevelType w:val="hybridMultilevel"/>
    <w:tmpl w:val="584E4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7F7936"/>
    <w:multiLevelType w:val="hybridMultilevel"/>
    <w:tmpl w:val="A768DA4A"/>
    <w:lvl w:ilvl="0" w:tplc="AB100B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420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7B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4B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29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9E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4C6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2C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F4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3822341">
    <w:abstractNumId w:val="13"/>
  </w:num>
  <w:num w:numId="2" w16cid:durableId="924614247">
    <w:abstractNumId w:val="12"/>
  </w:num>
  <w:num w:numId="3" w16cid:durableId="1576629885">
    <w:abstractNumId w:val="9"/>
  </w:num>
  <w:num w:numId="4" w16cid:durableId="1655178520">
    <w:abstractNumId w:val="7"/>
  </w:num>
  <w:num w:numId="5" w16cid:durableId="1063676573">
    <w:abstractNumId w:val="6"/>
  </w:num>
  <w:num w:numId="6" w16cid:durableId="447895065">
    <w:abstractNumId w:val="5"/>
  </w:num>
  <w:num w:numId="7" w16cid:durableId="77873593">
    <w:abstractNumId w:val="4"/>
  </w:num>
  <w:num w:numId="8" w16cid:durableId="574362678">
    <w:abstractNumId w:val="8"/>
  </w:num>
  <w:num w:numId="9" w16cid:durableId="1676490100">
    <w:abstractNumId w:val="3"/>
  </w:num>
  <w:num w:numId="10" w16cid:durableId="1297486599">
    <w:abstractNumId w:val="2"/>
  </w:num>
  <w:num w:numId="11" w16cid:durableId="968558664">
    <w:abstractNumId w:val="1"/>
  </w:num>
  <w:num w:numId="12" w16cid:durableId="977997011">
    <w:abstractNumId w:val="0"/>
  </w:num>
  <w:num w:numId="13" w16cid:durableId="2123374092">
    <w:abstractNumId w:val="14"/>
  </w:num>
  <w:num w:numId="14" w16cid:durableId="1065756449">
    <w:abstractNumId w:val="19"/>
  </w:num>
  <w:num w:numId="15" w16cid:durableId="1292983250">
    <w:abstractNumId w:val="29"/>
  </w:num>
  <w:num w:numId="16" w16cid:durableId="271010965">
    <w:abstractNumId w:val="18"/>
  </w:num>
  <w:num w:numId="17" w16cid:durableId="844057319">
    <w:abstractNumId w:val="33"/>
  </w:num>
  <w:num w:numId="18" w16cid:durableId="1505827499">
    <w:abstractNumId w:val="38"/>
  </w:num>
  <w:num w:numId="19" w16cid:durableId="344554838">
    <w:abstractNumId w:val="32"/>
  </w:num>
  <w:num w:numId="20" w16cid:durableId="1454208104">
    <w:abstractNumId w:val="25"/>
  </w:num>
  <w:num w:numId="21" w16cid:durableId="1261526548">
    <w:abstractNumId w:val="37"/>
  </w:num>
  <w:num w:numId="22" w16cid:durableId="22948981">
    <w:abstractNumId w:val="15"/>
  </w:num>
  <w:num w:numId="23" w16cid:durableId="155458518">
    <w:abstractNumId w:val="36"/>
  </w:num>
  <w:num w:numId="24" w16cid:durableId="180048649">
    <w:abstractNumId w:val="26"/>
  </w:num>
  <w:num w:numId="25" w16cid:durableId="1166820986">
    <w:abstractNumId w:val="10"/>
  </w:num>
  <w:num w:numId="26" w16cid:durableId="865869733">
    <w:abstractNumId w:val="24"/>
  </w:num>
  <w:num w:numId="27" w16cid:durableId="490682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3209785">
    <w:abstractNumId w:val="22"/>
  </w:num>
  <w:num w:numId="29" w16cid:durableId="1255893263">
    <w:abstractNumId w:val="28"/>
  </w:num>
  <w:num w:numId="30" w16cid:durableId="786199182">
    <w:abstractNumId w:val="16"/>
  </w:num>
  <w:num w:numId="31" w16cid:durableId="1099645261">
    <w:abstractNumId w:val="11"/>
  </w:num>
  <w:num w:numId="32" w16cid:durableId="1251155121">
    <w:abstractNumId w:val="27"/>
  </w:num>
  <w:num w:numId="33" w16cid:durableId="289895075">
    <w:abstractNumId w:val="31"/>
  </w:num>
  <w:num w:numId="34" w16cid:durableId="1248226207">
    <w:abstractNumId w:val="13"/>
  </w:num>
  <w:num w:numId="35" w16cid:durableId="1924025761">
    <w:abstractNumId w:val="23"/>
  </w:num>
  <w:num w:numId="36" w16cid:durableId="626424461">
    <w:abstractNumId w:val="20"/>
  </w:num>
  <w:num w:numId="37" w16cid:durableId="33584172">
    <w:abstractNumId w:val="30"/>
  </w:num>
  <w:num w:numId="38" w16cid:durableId="1384985177">
    <w:abstractNumId w:val="35"/>
  </w:num>
  <w:num w:numId="39" w16cid:durableId="1580408896">
    <w:abstractNumId w:val="21"/>
  </w:num>
  <w:num w:numId="40" w16cid:durableId="1828939976">
    <w:abstractNumId w:val="34"/>
  </w:num>
  <w:num w:numId="41" w16cid:durableId="4713652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D"/>
    <w:rsid w:val="0001409C"/>
    <w:rsid w:val="00016143"/>
    <w:rsid w:val="0002626E"/>
    <w:rsid w:val="00031AFB"/>
    <w:rsid w:val="000322CF"/>
    <w:rsid w:val="00047606"/>
    <w:rsid w:val="0004777A"/>
    <w:rsid w:val="0005670C"/>
    <w:rsid w:val="0006169E"/>
    <w:rsid w:val="00086AA6"/>
    <w:rsid w:val="000A3E72"/>
    <w:rsid w:val="000A753D"/>
    <w:rsid w:val="000B5B88"/>
    <w:rsid w:val="000F2AF1"/>
    <w:rsid w:val="000F48EB"/>
    <w:rsid w:val="000F67AE"/>
    <w:rsid w:val="000F6CFC"/>
    <w:rsid w:val="00100BE7"/>
    <w:rsid w:val="0010254F"/>
    <w:rsid w:val="00112B42"/>
    <w:rsid w:val="00121334"/>
    <w:rsid w:val="00123C97"/>
    <w:rsid w:val="001441C7"/>
    <w:rsid w:val="0014660F"/>
    <w:rsid w:val="0014726A"/>
    <w:rsid w:val="00153CEF"/>
    <w:rsid w:val="00161415"/>
    <w:rsid w:val="00166279"/>
    <w:rsid w:val="0016710F"/>
    <w:rsid w:val="00191DAF"/>
    <w:rsid w:val="00192ABC"/>
    <w:rsid w:val="001972BA"/>
    <w:rsid w:val="001B09E1"/>
    <w:rsid w:val="001F1DB9"/>
    <w:rsid w:val="001F3140"/>
    <w:rsid w:val="00201D41"/>
    <w:rsid w:val="00206B16"/>
    <w:rsid w:val="002203AA"/>
    <w:rsid w:val="00223A3D"/>
    <w:rsid w:val="002250D9"/>
    <w:rsid w:val="0023232A"/>
    <w:rsid w:val="0023471B"/>
    <w:rsid w:val="00260E14"/>
    <w:rsid w:val="002659A7"/>
    <w:rsid w:val="00271B3D"/>
    <w:rsid w:val="002816B0"/>
    <w:rsid w:val="002972CE"/>
    <w:rsid w:val="002A17A6"/>
    <w:rsid w:val="002A5041"/>
    <w:rsid w:val="002A74CF"/>
    <w:rsid w:val="002B35D5"/>
    <w:rsid w:val="002D2E4B"/>
    <w:rsid w:val="002E24F1"/>
    <w:rsid w:val="002E7AE1"/>
    <w:rsid w:val="002F482B"/>
    <w:rsid w:val="003002E9"/>
    <w:rsid w:val="00301DB3"/>
    <w:rsid w:val="00316A7B"/>
    <w:rsid w:val="00325007"/>
    <w:rsid w:val="003262BB"/>
    <w:rsid w:val="00327DB8"/>
    <w:rsid w:val="003365F3"/>
    <w:rsid w:val="00342D1F"/>
    <w:rsid w:val="00345C4A"/>
    <w:rsid w:val="0034659C"/>
    <w:rsid w:val="00360EFA"/>
    <w:rsid w:val="00364289"/>
    <w:rsid w:val="003710F3"/>
    <w:rsid w:val="00371DC5"/>
    <w:rsid w:val="00390CEA"/>
    <w:rsid w:val="00391ECA"/>
    <w:rsid w:val="003A39A1"/>
    <w:rsid w:val="003B166C"/>
    <w:rsid w:val="003C57D0"/>
    <w:rsid w:val="003C6F63"/>
    <w:rsid w:val="003D0651"/>
    <w:rsid w:val="003D2691"/>
    <w:rsid w:val="003D6FFB"/>
    <w:rsid w:val="003E462C"/>
    <w:rsid w:val="003F10B0"/>
    <w:rsid w:val="003F4D9A"/>
    <w:rsid w:val="003F7DD6"/>
    <w:rsid w:val="00420B9A"/>
    <w:rsid w:val="0042606C"/>
    <w:rsid w:val="00452F5F"/>
    <w:rsid w:val="00456837"/>
    <w:rsid w:val="0046104B"/>
    <w:rsid w:val="00461C36"/>
    <w:rsid w:val="00462959"/>
    <w:rsid w:val="00467143"/>
    <w:rsid w:val="004717E4"/>
    <w:rsid w:val="004810C7"/>
    <w:rsid w:val="00483D3A"/>
    <w:rsid w:val="004B553E"/>
    <w:rsid w:val="004B6401"/>
    <w:rsid w:val="004C25DD"/>
    <w:rsid w:val="004D1AA4"/>
    <w:rsid w:val="004D366F"/>
    <w:rsid w:val="004D66CD"/>
    <w:rsid w:val="004D7652"/>
    <w:rsid w:val="004E404C"/>
    <w:rsid w:val="004E5B4B"/>
    <w:rsid w:val="004F67DB"/>
    <w:rsid w:val="0051051A"/>
    <w:rsid w:val="0052484B"/>
    <w:rsid w:val="00527B93"/>
    <w:rsid w:val="0054204F"/>
    <w:rsid w:val="00542FD9"/>
    <w:rsid w:val="005441FE"/>
    <w:rsid w:val="005464D6"/>
    <w:rsid w:val="00553C2B"/>
    <w:rsid w:val="0057044C"/>
    <w:rsid w:val="005762F4"/>
    <w:rsid w:val="00595BD7"/>
    <w:rsid w:val="005A12EA"/>
    <w:rsid w:val="005B1508"/>
    <w:rsid w:val="005B6FFD"/>
    <w:rsid w:val="005B75EF"/>
    <w:rsid w:val="005C00A3"/>
    <w:rsid w:val="005C3616"/>
    <w:rsid w:val="005D0871"/>
    <w:rsid w:val="005D1C3E"/>
    <w:rsid w:val="005D4224"/>
    <w:rsid w:val="005D578E"/>
    <w:rsid w:val="005F2E1E"/>
    <w:rsid w:val="005F652C"/>
    <w:rsid w:val="00605AB8"/>
    <w:rsid w:val="00616015"/>
    <w:rsid w:val="00630E39"/>
    <w:rsid w:val="00633431"/>
    <w:rsid w:val="0064585B"/>
    <w:rsid w:val="00663B42"/>
    <w:rsid w:val="00666C5A"/>
    <w:rsid w:val="00667184"/>
    <w:rsid w:val="00670969"/>
    <w:rsid w:val="00676D4B"/>
    <w:rsid w:val="0068042A"/>
    <w:rsid w:val="00685EF8"/>
    <w:rsid w:val="006963BA"/>
    <w:rsid w:val="006A7265"/>
    <w:rsid w:val="006B418A"/>
    <w:rsid w:val="006B4930"/>
    <w:rsid w:val="006C1F93"/>
    <w:rsid w:val="006E6868"/>
    <w:rsid w:val="006F35AC"/>
    <w:rsid w:val="006F6C45"/>
    <w:rsid w:val="00700130"/>
    <w:rsid w:val="00700F5B"/>
    <w:rsid w:val="00706E3B"/>
    <w:rsid w:val="00713BB3"/>
    <w:rsid w:val="00715CBD"/>
    <w:rsid w:val="00726300"/>
    <w:rsid w:val="007269A6"/>
    <w:rsid w:val="00750F04"/>
    <w:rsid w:val="007625AB"/>
    <w:rsid w:val="007727AD"/>
    <w:rsid w:val="00772CC0"/>
    <w:rsid w:val="0077778D"/>
    <w:rsid w:val="00782E3B"/>
    <w:rsid w:val="007864D4"/>
    <w:rsid w:val="007C1F13"/>
    <w:rsid w:val="00820FA0"/>
    <w:rsid w:val="00823720"/>
    <w:rsid w:val="008455E9"/>
    <w:rsid w:val="008466CC"/>
    <w:rsid w:val="00851A1C"/>
    <w:rsid w:val="008546EC"/>
    <w:rsid w:val="00857183"/>
    <w:rsid w:val="00867EA6"/>
    <w:rsid w:val="00873654"/>
    <w:rsid w:val="0087457D"/>
    <w:rsid w:val="0087619A"/>
    <w:rsid w:val="008776AB"/>
    <w:rsid w:val="00887F8C"/>
    <w:rsid w:val="0089686E"/>
    <w:rsid w:val="00896FD8"/>
    <w:rsid w:val="008A2E8E"/>
    <w:rsid w:val="008B13BE"/>
    <w:rsid w:val="008B17FA"/>
    <w:rsid w:val="008B5994"/>
    <w:rsid w:val="008E3889"/>
    <w:rsid w:val="00903097"/>
    <w:rsid w:val="00911D40"/>
    <w:rsid w:val="00912C3B"/>
    <w:rsid w:val="00921DE9"/>
    <w:rsid w:val="00922E15"/>
    <w:rsid w:val="009230AD"/>
    <w:rsid w:val="00950021"/>
    <w:rsid w:val="009527B5"/>
    <w:rsid w:val="00957494"/>
    <w:rsid w:val="00962CB9"/>
    <w:rsid w:val="0096380C"/>
    <w:rsid w:val="00974AAC"/>
    <w:rsid w:val="00975F6B"/>
    <w:rsid w:val="009765BF"/>
    <w:rsid w:val="00976EA1"/>
    <w:rsid w:val="00995251"/>
    <w:rsid w:val="00997CD1"/>
    <w:rsid w:val="009A053D"/>
    <w:rsid w:val="009A115D"/>
    <w:rsid w:val="009A7070"/>
    <w:rsid w:val="009B3BE0"/>
    <w:rsid w:val="009B4695"/>
    <w:rsid w:val="009C010C"/>
    <w:rsid w:val="009C22F9"/>
    <w:rsid w:val="009C4589"/>
    <w:rsid w:val="009D1A67"/>
    <w:rsid w:val="009D65F1"/>
    <w:rsid w:val="009E0A02"/>
    <w:rsid w:val="009E4731"/>
    <w:rsid w:val="009E5230"/>
    <w:rsid w:val="009E68FE"/>
    <w:rsid w:val="009E6C59"/>
    <w:rsid w:val="009F4608"/>
    <w:rsid w:val="009F4768"/>
    <w:rsid w:val="00A0070A"/>
    <w:rsid w:val="00A01774"/>
    <w:rsid w:val="00A20D30"/>
    <w:rsid w:val="00A30B4D"/>
    <w:rsid w:val="00A52CEE"/>
    <w:rsid w:val="00A534C3"/>
    <w:rsid w:val="00A538D2"/>
    <w:rsid w:val="00A61C50"/>
    <w:rsid w:val="00A710C3"/>
    <w:rsid w:val="00A7422A"/>
    <w:rsid w:val="00A74297"/>
    <w:rsid w:val="00A74C53"/>
    <w:rsid w:val="00A761A3"/>
    <w:rsid w:val="00AA48B5"/>
    <w:rsid w:val="00AA4C7F"/>
    <w:rsid w:val="00AB3194"/>
    <w:rsid w:val="00AD3917"/>
    <w:rsid w:val="00AE3EC0"/>
    <w:rsid w:val="00AE5702"/>
    <w:rsid w:val="00B101D4"/>
    <w:rsid w:val="00B12EC4"/>
    <w:rsid w:val="00B13B81"/>
    <w:rsid w:val="00B227FA"/>
    <w:rsid w:val="00B33ED7"/>
    <w:rsid w:val="00B41BF5"/>
    <w:rsid w:val="00B476EF"/>
    <w:rsid w:val="00B5096D"/>
    <w:rsid w:val="00B54634"/>
    <w:rsid w:val="00B62071"/>
    <w:rsid w:val="00B632FD"/>
    <w:rsid w:val="00B6582A"/>
    <w:rsid w:val="00B752D2"/>
    <w:rsid w:val="00B82227"/>
    <w:rsid w:val="00B8564B"/>
    <w:rsid w:val="00B95709"/>
    <w:rsid w:val="00BB045C"/>
    <w:rsid w:val="00BB49FA"/>
    <w:rsid w:val="00BB6302"/>
    <w:rsid w:val="00BC3347"/>
    <w:rsid w:val="00BC58E0"/>
    <w:rsid w:val="00BE0AB5"/>
    <w:rsid w:val="00BE0C4D"/>
    <w:rsid w:val="00BE1490"/>
    <w:rsid w:val="00BE3001"/>
    <w:rsid w:val="00BE3C31"/>
    <w:rsid w:val="00BF0D5D"/>
    <w:rsid w:val="00BF22B0"/>
    <w:rsid w:val="00BF508A"/>
    <w:rsid w:val="00C10CEB"/>
    <w:rsid w:val="00C22279"/>
    <w:rsid w:val="00C25CE7"/>
    <w:rsid w:val="00C30874"/>
    <w:rsid w:val="00C31E07"/>
    <w:rsid w:val="00C53077"/>
    <w:rsid w:val="00C627D6"/>
    <w:rsid w:val="00C6598C"/>
    <w:rsid w:val="00C704A9"/>
    <w:rsid w:val="00C70D0B"/>
    <w:rsid w:val="00C728C4"/>
    <w:rsid w:val="00C771AA"/>
    <w:rsid w:val="00C9010A"/>
    <w:rsid w:val="00C905C0"/>
    <w:rsid w:val="00CB073B"/>
    <w:rsid w:val="00CB7EDA"/>
    <w:rsid w:val="00CD3586"/>
    <w:rsid w:val="00CD74E0"/>
    <w:rsid w:val="00CE2169"/>
    <w:rsid w:val="00CF787C"/>
    <w:rsid w:val="00CF7D1B"/>
    <w:rsid w:val="00D028D3"/>
    <w:rsid w:val="00D16DED"/>
    <w:rsid w:val="00D22868"/>
    <w:rsid w:val="00D2459D"/>
    <w:rsid w:val="00D267A9"/>
    <w:rsid w:val="00D34657"/>
    <w:rsid w:val="00D4580E"/>
    <w:rsid w:val="00D4783A"/>
    <w:rsid w:val="00D6188A"/>
    <w:rsid w:val="00D64360"/>
    <w:rsid w:val="00D74B71"/>
    <w:rsid w:val="00D75548"/>
    <w:rsid w:val="00D81837"/>
    <w:rsid w:val="00DA0A1C"/>
    <w:rsid w:val="00DA25A6"/>
    <w:rsid w:val="00DA2D36"/>
    <w:rsid w:val="00DB19B0"/>
    <w:rsid w:val="00DC2E51"/>
    <w:rsid w:val="00DD57E2"/>
    <w:rsid w:val="00DE3253"/>
    <w:rsid w:val="00DF06E6"/>
    <w:rsid w:val="00E109B3"/>
    <w:rsid w:val="00E13085"/>
    <w:rsid w:val="00E217BF"/>
    <w:rsid w:val="00E2416C"/>
    <w:rsid w:val="00E43775"/>
    <w:rsid w:val="00E45BEC"/>
    <w:rsid w:val="00E534FD"/>
    <w:rsid w:val="00E55554"/>
    <w:rsid w:val="00E6044E"/>
    <w:rsid w:val="00E665C0"/>
    <w:rsid w:val="00E71B67"/>
    <w:rsid w:val="00E726B1"/>
    <w:rsid w:val="00E73C77"/>
    <w:rsid w:val="00E7770C"/>
    <w:rsid w:val="00E833AD"/>
    <w:rsid w:val="00E87912"/>
    <w:rsid w:val="00E92D18"/>
    <w:rsid w:val="00E97E61"/>
    <w:rsid w:val="00EA0D5C"/>
    <w:rsid w:val="00EA2ED5"/>
    <w:rsid w:val="00EA46A5"/>
    <w:rsid w:val="00EA6A5D"/>
    <w:rsid w:val="00EB14CE"/>
    <w:rsid w:val="00F203A7"/>
    <w:rsid w:val="00F2198C"/>
    <w:rsid w:val="00F2645C"/>
    <w:rsid w:val="00F521FC"/>
    <w:rsid w:val="00F53BBA"/>
    <w:rsid w:val="00F541C9"/>
    <w:rsid w:val="00F611DE"/>
    <w:rsid w:val="00F6624F"/>
    <w:rsid w:val="00F73CB4"/>
    <w:rsid w:val="00F83AC5"/>
    <w:rsid w:val="00F85E59"/>
    <w:rsid w:val="00F87FB1"/>
    <w:rsid w:val="00F94AF6"/>
    <w:rsid w:val="00FA447A"/>
    <w:rsid w:val="00FA565F"/>
    <w:rsid w:val="00FB74FE"/>
    <w:rsid w:val="00FC7639"/>
    <w:rsid w:val="00FD1136"/>
    <w:rsid w:val="00FD29B3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672C"/>
  <w15:docId w15:val="{A302099D-E7CC-4313-A955-2074F08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8455E9"/>
    <w:pPr>
      <w:keepNext/>
      <w:keepLines/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B101D4"/>
    <w:pPr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55E9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101D4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201D41"/>
    <w:pPr>
      <w:tabs>
        <w:tab w:val="center" w:pos="5040"/>
        <w:tab w:val="right" w:pos="10080"/>
      </w:tabs>
      <w:spacing w:after="0" w:line="240" w:lineRule="auto"/>
    </w:pPr>
    <w:rPr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54204F"/>
    <w:rPr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A753D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4C25DD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rsid w:val="004C25DD"/>
    <w:rPr>
      <w:vertAlign w:val="superscript"/>
    </w:rPr>
  </w:style>
  <w:style w:type="table" w:customStyle="1" w:styleId="WECCDefault">
    <w:name w:val="WECC Default"/>
    <w:basedOn w:val="TableNormal"/>
    <w:uiPriority w:val="99"/>
    <w:rsid w:val="004C25DD"/>
    <w:pPr>
      <w:spacing w:before="60" w:after="6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3"/>
      </w:rPr>
      <w:tblPr/>
      <w:tcPr>
        <w:shd w:val="clear" w:color="auto" w:fill="00395D" w:themeFill="accent1"/>
      </w:tcPr>
    </w:tblStylePr>
    <w:tblStylePr w:type="band2Horz">
      <w:tblPr/>
      <w:tcPr>
        <w:shd w:val="clear" w:color="auto" w:fill="EDE9DF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rsid w:val="009A707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070"/>
    <w:rPr>
      <w:sz w:val="20"/>
      <w:szCs w:val="20"/>
    </w:rPr>
  </w:style>
  <w:style w:type="character" w:customStyle="1" w:styleId="Normal2Char">
    <w:name w:val="Normal 2 Char"/>
    <w:basedOn w:val="DefaultParagraphFont"/>
    <w:link w:val="Normal2"/>
    <w:rsid w:val="00DA0A1C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2069</Value>
      <Value>993</Value>
    </TaxCatchAll>
    <Privacy xmlns="2fb8a92a-9032-49d6-b983-191f0a73b01f">Public</Privacy>
    <Event_x0020_ID xmlns="4bd63098-0c83-43cf-abdd-085f2cc55a51">16457;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WECC-0146</TermName>
          <TermId xmlns="http://schemas.microsoft.com/office/infopath/2007/PartnerControls">78f1fa10-ac1c-45c6-91bc-62d287db856a</TermId>
        </TermInfo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1cd7b51f-3fc5-45b0-a944-02d75569dac2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YWEQ7USXTMD7-11-21869</_dlc_DocId>
    <_dlc_DocIdUrl xmlns="4bd63098-0c83-43cf-abdd-085f2cc55a51">
      <Url>https://internal.wecc.org/_layouts/15/DocIdRedir.aspx?ID=YWEQ7USXTMD7-11-21869</Url>
      <Description>YWEQ7USXTMD7-11-21869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2024-06-15T18:36:24+00:00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5AC4DF3-4016-4C59-9265-15BE3B119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5C910-8CE5-4534-B2D0-C6BD42943A3A}"/>
</file>

<file path=customXml/itemProps3.xml><?xml version="1.0" encoding="utf-8"?>
<ds:datastoreItem xmlns:ds="http://schemas.openxmlformats.org/officeDocument/2006/customXml" ds:itemID="{9AF323F5-871D-4CCB-9487-F2FD315C6F3B}"/>
</file>

<file path=customXml/itemProps4.xml><?xml version="1.0" encoding="utf-8"?>
<ds:datastoreItem xmlns:ds="http://schemas.openxmlformats.org/officeDocument/2006/customXml" ds:itemID="{69614DE6-23A6-43EE-A0EE-6121E0D5ABAB}"/>
</file>

<file path=customXml/itemProps5.xml><?xml version="1.0" encoding="utf-8"?>
<ds:datastoreItem xmlns:ds="http://schemas.openxmlformats.org/officeDocument/2006/customXml" ds:itemID="{64FF1E2E-ABE7-47FF-8F81-722C28170DE0}"/>
</file>

<file path=customXml/itemProps6.xml><?xml version="1.0" encoding="utf-8"?>
<ds:datastoreItem xmlns:ds="http://schemas.openxmlformats.org/officeDocument/2006/customXml" ds:itemID="{14B102B6-3BB7-45CA-89D5-767687874635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2022-04-28 Minutes WECC-0146 TPL Five Year Review - for approval 06-16-2022</dc:title>
  <dc:creator>Black, Shannon</dc:creator>
  <cp:keywords>Minutes; WECC-0146</cp:keywords>
  <cp:lastModifiedBy>Black, Shannon</cp:lastModifiedBy>
  <cp:revision>2</cp:revision>
  <cp:lastPrinted>2019-07-12T17:04:00Z</cp:lastPrinted>
  <dcterms:created xsi:type="dcterms:W3CDTF">2022-06-15T17:44:00Z</dcterms:created>
  <dcterms:modified xsi:type="dcterms:W3CDTF">2022-06-15T17:44:00Z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45248c3a-4085-4ea4-9f8b-989bfebfac18</vt:lpwstr>
  </property>
  <property fmtid="{D5CDD505-2E9C-101B-9397-08002B2CF9AE}" pid="4" name="TaxKeyword">
    <vt:lpwstr>2069;#WECC-0146|78f1fa10-ac1c-45c6-91bc-62d287db856a;#993;#Minutes|1cd7b51f-3fc5-45b0-a944-02d75569dac2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